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SCENARIO PACKAGE GS-1b</w:t>
      </w:r>
    </w:p>
    <w:p>
      <w:pPr>
        <w:spacing w:after="120"/>
      </w:pPr>
      <w:r>
        <w:rPr>
          <w:rFonts w:ascii="Calibri" w:cs="Calibri" w:eastAsia="Calibri" w:hAnsi="Calibri"/>
          <w:b/>
          <w:bCs/>
          <w:color w:val="1F3864"/>
          <w:sz w:val="52"/>
          <w:szCs w:val="52"/>
        </w:rPr>
        <w:t xml:space="preserve">Ransomware</w:t>
      </w:r>
    </w:p>
    <w:p>
      <w:pPr>
        <w:spacing w:after="100"/>
      </w:pPr>
      <w:r>
        <w:rPr>
          <w:rFonts w:ascii="Calibri" w:cs="Calibri" w:eastAsia="Calibri" w:hAnsi="Calibri"/>
          <w:color w:val="595959"/>
          <w:sz w:val="24"/>
          <w:szCs w:val="24"/>
        </w:rPr>
        <w:t xml:space="preserve">Customer Data and Regulatory Reporting — Business Response Focus</w:t>
      </w:r>
    </w:p>
    <w:p>
      <w:pPr>
        <w:pBdr>
          <w:bottom w:val="single" w:color="2E74B5" w:sz="8" w:space="6"/>
        </w:pBdr>
        <w:spacing w:after="80"/>
      </w:pPr>
      <w:r>
        <w:rPr>
          <w:rFonts w:ascii="Calibri" w:cs="Calibri" w:eastAsia="Calibri" w:hAnsi="Calibri"/>
          <w:color w:val="595959"/>
          <w:sz w:val="20"/>
          <w:szCs w:val="20"/>
        </w:rPr>
        <w:t xml:space="preserve">Industry: Financial Services  |  Duration: 2–3 Hours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Scenario Overview</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Threat category</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Ransomware / Major Cyber Incident</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response focus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Financial services — customer financial data exposure, regulatory reporting (GLBA, state banking), service continuity, and fiduciary obligations. Decision-making, communication, and coordination, not technical incident response.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 (3 modules + hot wash)</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Recommended participants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CEO/President, CFO, Compliance Officer, IT, Operations, Customer Service, Legal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decisions tested</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Customer data assessment, regulatory notification, service continuity, customer communication, fiduciary obligations</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 Regulatory Landscape</w:t>
            </w:r>
          </w:p>
          <w:p>
            <w:pPr>
              <w:spacing w:after="40" w:before="0" w:line="276"/>
            </w:pPr>
            <w:r>
              <w:rPr>
                <w:rFonts w:ascii="Calibri" w:cs="Calibri" w:eastAsia="Calibri" w:hAnsi="Calibri"/>
                <w:color w:val="404040"/>
                <w:sz w:val="20"/>
                <w:szCs w:val="20"/>
              </w:rPr>
              <w:t xml:space="preserve">Financial services organizations face multiple notification requirements: GLBA Safeguards Rule, state banking regulator notifications, SEC/FINRA requirements (if applicable), and state breach notification laws. This scenario tests whether participants understand which regulators apply and what timelines they face.</w:t>
            </w:r>
          </w:p>
        </w:tc>
      </w:tr>
    </w:tbl>
    <w:p>
      <w:pPr>
        <w:pStyle w:val="Heading1"/>
        <w:keepNext/>
        <w:spacing w:after="140" w:before="320"/>
      </w:pPr>
      <w:r>
        <w:rPr>
          <w:rFonts w:ascii="Calibri" w:cs="Calibri" w:eastAsia="Calibri" w:hAnsi="Calibri"/>
          <w:b/>
          <w:bCs/>
          <w:color w:val="1F3864"/>
          <w:sz w:val="30"/>
          <w:szCs w:val="30"/>
        </w:rPr>
        <w:t xml:space="preserve">Scenario Narrative</w:t>
      </w:r>
    </w:p>
    <w:p>
      <w:pPr>
        <w:pStyle w:val="Heading2"/>
        <w:keepNext/>
        <w:spacing w:after="110" w:before="240"/>
      </w:pPr>
      <w:r>
        <w:rPr>
          <w:rFonts w:ascii="Calibri" w:cs="Calibri" w:eastAsia="Calibri" w:hAnsi="Calibri"/>
          <w:b/>
          <w:bCs/>
          <w:color w:val="2E74B5"/>
          <w:sz w:val="25"/>
          <w:szCs w:val="25"/>
        </w:rPr>
        <w:t xml:space="preserve">Background</w:t>
      </w:r>
    </w:p>
    <w:p>
      <w:pPr>
        <w:spacing w:after="120" w:before="0" w:line="276"/>
      </w:pPr>
      <w:r>
        <w:rPr>
          <w:rFonts w:ascii="Calibri" w:cs="Calibri" w:eastAsia="Calibri" w:hAnsi="Calibri"/>
          <w:color w:val="404040"/>
          <w:sz w:val="21"/>
          <w:szCs w:val="21"/>
        </w:rPr>
        <w:t xml:space="preserve">[ORGANIZATION NAME] is a [CUSTOMIZE: bank / credit union / insurance agency / financial advisory firm / accounting firm / wealth management firm] with [CUSTOMIZE: number] employees serving approximately [CUSTOMIZE: number] clients. The organization handles [CUSTOMIZE: scope of financial data — account numbers, SSNs, tax returns, investment portfolios, loan applications, wire transfer records]. The core banking/financial system is [CUSTOMIZE: system name].</w:t>
      </w:r>
    </w:p>
    <w:p>
      <w:pPr>
        <w:spacing w:after="120" w:before="0" w:line="276"/>
      </w:pPr>
      <w:r>
        <w:rPr>
          <w:rFonts w:ascii="Calibri" w:cs="Calibri" w:eastAsia="Calibri" w:hAnsi="Calibri"/>
          <w:color w:val="404040"/>
          <w:sz w:val="21"/>
          <w:szCs w:val="21"/>
        </w:rPr>
        <w:t xml:space="preserve">It is [CUSTOMIZE: day] at 7:45 AM. The first employees to arrive discover that workstations are displaying ransom notes. The core [CUSTOMIZE: banking / financial / accounting] system is inaccessible. Online banking / client portal is down. Phone lines are operational.</w:t>
      </w:r>
    </w:p>
    <w:p>
      <w:pPr>
        <w:pStyle w:val="Heading2"/>
        <w:keepNext/>
        <w:spacing w:after="110" w:before="240"/>
      </w:pPr>
      <w:r>
        <w:rPr>
          <w:rFonts w:ascii="Calibri" w:cs="Calibri" w:eastAsia="Calibri" w:hAnsi="Calibri"/>
          <w:b/>
          <w:bCs/>
          <w:color w:val="2E74B5"/>
          <w:sz w:val="25"/>
          <w:szCs w:val="25"/>
        </w:rPr>
        <w:t xml:space="preserve">Module 1: Discovery and Customer Impact (25–30 minutes)</w:t>
      </w:r>
    </w:p>
    <w:p>
      <w:pPr>
        <w:spacing w:after="120" w:before="0" w:line="276"/>
      </w:pPr>
      <w:r>
        <w:rPr>
          <w:rFonts w:ascii="Calibri" w:cs="Calibri" w:eastAsia="Calibri" w:hAnsi="Calibri"/>
          <w:color w:val="404040"/>
          <w:sz w:val="21"/>
          <w:szCs w:val="21"/>
        </w:rPr>
        <w:t xml:space="preserve">The exercise opens before the doors do: employees arrive to ransom notes on every screen, the core system is down, the client portal is dark, and the first customer calls are minutes away.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Customers cannot access their money. What is your immediate communication to them? Through what channel?</w:t>
      </w:r>
    </w:p>
    <w:p>
      <w:pPr>
        <w:pStyle w:val="ListParagraph"/>
        <w:numPr>
          <w:ilvl w:val="0"/>
          <w:numId w:val="2"/>
        </w:numPr>
        <w:spacing w:after="80" w:line="276"/>
      </w:pPr>
      <w:r>
        <w:rPr>
          <w:rFonts w:ascii="Calibri" w:cs="Calibri" w:eastAsia="Calibri" w:hAnsi="Calibri"/>
          <w:color w:val="404040"/>
          <w:sz w:val="21"/>
          <w:szCs w:val="21"/>
        </w:rPr>
        <w:t xml:space="preserve">You have fiduciary obligations to protect customer assets. What actions do you take right now?</w:t>
      </w:r>
    </w:p>
    <w:p>
      <w:pPr>
        <w:pStyle w:val="ListParagraph"/>
        <w:numPr>
          <w:ilvl w:val="0"/>
          <w:numId w:val="2"/>
        </w:numPr>
        <w:spacing w:after="80" w:line="276"/>
      </w:pPr>
      <w:r>
        <w:rPr>
          <w:rFonts w:ascii="Calibri" w:cs="Calibri" w:eastAsia="Calibri" w:hAnsi="Calibri"/>
          <w:color w:val="404040"/>
          <w:sz w:val="21"/>
          <w:szCs w:val="21"/>
        </w:rPr>
        <w:t xml:space="preserve">The attacker claims to have customer data. What is your obligation to report this to your regulator?</w:t>
      </w:r>
    </w:p>
    <w:p>
      <w:pPr>
        <w:pStyle w:val="ListParagraph"/>
        <w:numPr>
          <w:ilvl w:val="0"/>
          <w:numId w:val="2"/>
        </w:numPr>
        <w:spacing w:after="80" w:line="276"/>
      </w:pPr>
      <w:r>
        <w:rPr>
          <w:rFonts w:ascii="Calibri" w:cs="Calibri" w:eastAsia="Calibri" w:hAnsi="Calibri"/>
          <w:color w:val="404040"/>
          <w:sz w:val="21"/>
          <w:szCs w:val="21"/>
        </w:rPr>
        <w:t xml:space="preserve">Transaction processing is halted. What manual processes exist? Can you process critical transactions through a correspondent bank or alternate channel?</w:t>
      </w:r>
    </w:p>
    <w:p>
      <w:pPr>
        <w:pStyle w:val="ListParagraph"/>
        <w:numPr>
          <w:ilvl w:val="0"/>
          <w:numId w:val="2"/>
        </w:numPr>
        <w:spacing w:after="80" w:line="276"/>
      </w:pPr>
      <w:r>
        <w:rPr>
          <w:rFonts w:ascii="Calibri" w:cs="Calibri" w:eastAsia="Calibri" w:hAnsi="Calibri"/>
          <w:color w:val="404040"/>
          <w:sz w:val="21"/>
          <w:szCs w:val="21"/>
        </w:rPr>
        <w:t xml:space="preserve">Who leads this response as of this moment — and who is the backup if that person is unreachable?</w:t>
      </w:r>
    </w:p>
    <w:p>
      <w:pPr>
        <w:pStyle w:val="Heading2"/>
        <w:keepNext/>
        <w:spacing w:after="110" w:before="240"/>
      </w:pPr>
      <w:r>
        <w:rPr>
          <w:rFonts w:ascii="Calibri" w:cs="Calibri" w:eastAsia="Calibri" w:hAnsi="Calibri"/>
          <w:b/>
          <w:bCs/>
          <w:color w:val="2E74B5"/>
          <w:sz w:val="25"/>
          <w:szCs w:val="25"/>
        </w:rPr>
        <w:t xml:space="preserve">Module 2: Regulatory and Customer Response (25–30 minutes)</w:t>
      </w:r>
    </w:p>
    <w:p>
      <w:pPr>
        <w:spacing w:after="120" w:before="0" w:line="276"/>
      </w:pPr>
      <w:r>
        <w:rPr>
          <w:rFonts w:ascii="Calibri" w:cs="Calibri" w:eastAsia="Calibri" w:hAnsi="Calibri"/>
          <w:color w:val="404040"/>
          <w:sz w:val="21"/>
          <w:szCs w:val="21"/>
        </w:rPr>
        <w:t xml:space="preserve">The incident is now a public-facing event. Regulators, the insurance carrier, the media, and your largest clients all have expectations — several of them with clocks attached.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You have multiple regulators with different notification timelines. How do you manage simultaneous obligations?</w:t>
      </w:r>
    </w:p>
    <w:p>
      <w:pPr>
        <w:pStyle w:val="ListParagraph"/>
        <w:numPr>
          <w:ilvl w:val="0"/>
          <w:numId w:val="2"/>
        </w:numPr>
        <w:spacing w:after="80" w:line="276"/>
      </w:pPr>
      <w:r>
        <w:rPr>
          <w:rFonts w:ascii="Calibri" w:cs="Calibri" w:eastAsia="Calibri" w:hAnsi="Calibri"/>
          <w:color w:val="404040"/>
          <w:sz w:val="21"/>
          <w:szCs w:val="21"/>
        </w:rPr>
        <w:t xml:space="preserve">A major commercial client is asking the CEO directly whether their money is safe. What is the honest, legally defensible answer?</w:t>
      </w:r>
    </w:p>
    <w:p>
      <w:pPr>
        <w:pStyle w:val="ListParagraph"/>
        <w:numPr>
          <w:ilvl w:val="0"/>
          <w:numId w:val="2"/>
        </w:numPr>
        <w:spacing w:after="80" w:line="276"/>
      </w:pPr>
      <w:r>
        <w:rPr>
          <w:rFonts w:ascii="Calibri" w:cs="Calibri" w:eastAsia="Calibri" w:hAnsi="Calibri"/>
          <w:color w:val="404040"/>
          <w:sz w:val="21"/>
          <w:szCs w:val="21"/>
        </w:rPr>
        <w:t xml:space="preserve">Your insurance carrier requires notification within 24 hours and use of pre-approved vendors. Did you know this before today?</w:t>
      </w:r>
    </w:p>
    <w:p>
      <w:pPr>
        <w:pStyle w:val="ListParagraph"/>
        <w:numPr>
          <w:ilvl w:val="0"/>
          <w:numId w:val="2"/>
        </w:numPr>
        <w:spacing w:after="80" w:line="276"/>
      </w:pPr>
      <w:r>
        <w:rPr>
          <w:rFonts w:ascii="Calibri" w:cs="Calibri" w:eastAsia="Calibri" w:hAnsi="Calibri"/>
          <w:color w:val="404040"/>
          <w:sz w:val="21"/>
          <w:szCs w:val="21"/>
        </w:rPr>
        <w:t xml:space="preserve">The news outlet is asking. Do you proactively release a statement or wait until you know more?</w:t>
      </w:r>
    </w:p>
    <w:p>
      <w:pPr>
        <w:pStyle w:val="ListParagraph"/>
        <w:numPr>
          <w:ilvl w:val="0"/>
          <w:numId w:val="2"/>
        </w:numPr>
        <w:spacing w:after="80" w:line="276"/>
      </w:pPr>
      <w:r>
        <w:rPr>
          <w:rFonts w:ascii="Calibri" w:cs="Calibri" w:eastAsia="Calibri" w:hAnsi="Calibri"/>
          <w:color w:val="404040"/>
          <w:sz w:val="21"/>
          <w:szCs w:val="21"/>
        </w:rPr>
        <w:t xml:space="preserve">What do you tell employees — especially front-line staff answering the phones — and who approves that script?</w:t>
      </w:r>
    </w:p>
    <w:p>
      <w:pPr>
        <w:pStyle w:val="Heading2"/>
        <w:keepNext/>
        <w:spacing w:after="110" w:before="240"/>
      </w:pPr>
      <w:r>
        <w:rPr>
          <w:rFonts w:ascii="Calibri" w:cs="Calibri" w:eastAsia="Calibri" w:hAnsi="Calibri"/>
          <w:b/>
          <w:bCs/>
          <w:color w:val="2E74B5"/>
          <w:sz w:val="25"/>
          <w:szCs w:val="25"/>
        </w:rPr>
        <w:t xml:space="preserve">Module 3: Recovery and Trust Restoration (25–30 minutes)</w:t>
      </w:r>
    </w:p>
    <w:p>
      <w:pPr>
        <w:spacing w:after="120" w:before="0" w:line="276"/>
      </w:pPr>
      <w:r>
        <w:rPr>
          <w:rFonts w:ascii="Calibri" w:cs="Calibri" w:eastAsia="Calibri" w:hAnsi="Calibri"/>
          <w:color w:val="404040"/>
          <w:sz w:val="21"/>
          <w:szCs w:val="21"/>
        </w:rPr>
        <w:t xml:space="preserve">Forensics has confirmed the worst. The response shifts from crisis management to notification execution, cost realism, and winning back customer trust.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Walk through your customer notification plan. Who gets notified first? What does the letter say?</w:t>
      </w:r>
    </w:p>
    <w:p>
      <w:pPr>
        <w:pStyle w:val="ListParagraph"/>
        <w:numPr>
          <w:ilvl w:val="0"/>
          <w:numId w:val="2"/>
        </w:numPr>
        <w:spacing w:after="80" w:line="276"/>
      </w:pPr>
      <w:r>
        <w:rPr>
          <w:rFonts w:ascii="Calibri" w:cs="Calibri" w:eastAsia="Calibri" w:hAnsi="Calibri"/>
          <w:color w:val="404040"/>
          <w:sz w:val="21"/>
          <w:szCs w:val="21"/>
        </w:rPr>
        <w:t xml:space="preserve">How do you restore customer trust after a confirmed data breach? What does the first 90 days look like?</w:t>
      </w:r>
    </w:p>
    <w:p>
      <w:pPr>
        <w:pStyle w:val="ListParagraph"/>
        <w:numPr>
          <w:ilvl w:val="0"/>
          <w:numId w:val="2"/>
        </w:numPr>
        <w:spacing w:after="80" w:line="276"/>
      </w:pPr>
      <w:r>
        <w:rPr>
          <w:rFonts w:ascii="Calibri" w:cs="Calibri" w:eastAsia="Calibri" w:hAnsi="Calibri"/>
          <w:color w:val="404040"/>
          <w:sz w:val="21"/>
          <w:szCs w:val="21"/>
        </w:rPr>
        <w:t xml:space="preserve">What is the total estimated cost of this incident: forensics, notification, credit monitoring, legal fees, lost customers, regulatory penalties?</w:t>
      </w:r>
    </w:p>
    <w:p>
      <w:pPr>
        <w:pStyle w:val="ListParagraph"/>
        <w:numPr>
          <w:ilvl w:val="0"/>
          <w:numId w:val="2"/>
        </w:numPr>
        <w:spacing w:after="80" w:line="276"/>
      </w:pPr>
      <w:r>
        <w:rPr>
          <w:rFonts w:ascii="Calibri" w:cs="Calibri" w:eastAsia="Calibri" w:hAnsi="Calibri"/>
          <w:color w:val="404040"/>
          <w:sz w:val="21"/>
          <w:szCs w:val="21"/>
        </w:rPr>
        <w:t xml:space="preserve">What cybersecurity-specific investments would you prioritize?</w:t>
      </w:r>
    </w:p>
    <w:p>
      <w:pPr>
        <w:pStyle w:val="ListParagraph"/>
        <w:numPr>
          <w:ilvl w:val="0"/>
          <w:numId w:val="2"/>
        </w:numPr>
        <w:spacing w:after="80" w:line="276"/>
      </w:pPr>
      <w:r>
        <w:rPr>
          <w:rFonts w:ascii="Calibri" w:cs="Calibri" w:eastAsia="Calibri" w:hAnsi="Calibri"/>
          <w:color w:val="404040"/>
          <w:sz w:val="21"/>
          <w:szCs w:val="21"/>
        </w:rPr>
        <w:t xml:space="preserve">Which customers get a personal phone call rather than a letter — and who makes those calls?</w:t>
      </w:r>
    </w:p>
    <w:p>
      <w:r>
        <w:br w:type="page"/>
      </w:r>
    </w:p>
    <w:p>
      <w:pPr>
        <w:pStyle w:val="Heading1"/>
        <w:keepNext/>
        <w:spacing w:after="140" w:before="320"/>
      </w:pPr>
      <w:r>
        <w:rPr>
          <w:rFonts w:ascii="Calibri" w:cs="Calibri" w:eastAsia="Calibri" w:hAnsi="Calibri"/>
          <w:b/>
          <w:bCs/>
          <w:color w:val="1F3864"/>
          <w:sz w:val="30"/>
          <w:szCs w:val="30"/>
        </w:rPr>
        <w:t xml:space="preserve">Master Scenario Events List (MSEL)</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1: Core Systems Down</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core [CUSTOMIZE: banking/financial] system is encrypted. Employees cannot access customer accounts, process transactions, or view account balances. The online [banking portal / client portal] displays an error page. ATMs [CUSTOMIZE: are offline / are operational (separate network) / N/A]. Customers are already calling: “I can't log in. Is something wrong?”</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2: Ransom Note and Data Threat</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The ransom note demands [CUSTOMIZE: $200,000–$500,000] and states: “We have downloaded your customer database including account details and personal information. Pay within 72 hours or we sell the data.” Your IT contact says: “I don't know if they actually have the data or if they're bluffing. I can't tell without help.” The full text of the note, as displayed on every affected workstation:</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Ransom Note (Displayed on Affected Workstations)</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YOUR NETWORK HAS BEEN ENCRYPTED</w:t>
            </w:r>
          </w:p>
          <w:p>
            <w:pPr>
              <w:spacing w:after="60"/>
            </w:pPr>
            <w:r>
              <w:rPr>
                <w:rFonts w:ascii="Consolas" w:cs="Consolas" w:eastAsia="Consolas" w:hAnsi="Consolas"/>
                <w:color w:val="404040"/>
                <w:sz w:val="19"/>
                <w:szCs w:val="19"/>
              </w:rPr>
              <w:t xml:space="preserve">Your core [CUSTOMIZE: banking / financial] system, file servers, and reachable backups have been encrypted. We have downloaded your customer database: names, Social Security numbers, account numbers, balances, and transaction histories for [CUSTOMIZE: number] customers.</w:t>
            </w:r>
          </w:p>
          <w:p>
            <w:pPr>
              <w:spacing w:after="60"/>
            </w:pPr>
            <w:r>
              <w:rPr>
                <w:rFonts w:ascii="Consolas" w:cs="Consolas" w:eastAsia="Consolas" w:hAnsi="Consolas"/>
                <w:color w:val="404040"/>
                <w:sz w:val="19"/>
                <w:szCs w:val="19"/>
              </w:rPr>
              <w:t xml:space="preserve">To receive the decryption key, transfer [CUSTOMIZE: amount] in Bitcoin to the following wallet address within 72 hours: [WALLET ADDRESS]</w:t>
            </w:r>
          </w:p>
          <w:p>
            <w:pPr>
              <w:spacing w:after="60"/>
            </w:pPr>
            <w:r>
              <w:rPr>
                <w:rFonts w:ascii="Consolas" w:cs="Consolas" w:eastAsia="Consolas" w:hAnsi="Consolas"/>
                <w:color w:val="404040"/>
                <w:sz w:val="19"/>
                <w:szCs w:val="19"/>
              </w:rPr>
              <w:t xml:space="preserve">If you do not pay, the data will be sold and your customers, your regulators, and the press will be notified of your failure to protect it.</w:t>
            </w:r>
          </w:p>
          <w:p>
            <w:pPr>
              <w:spacing w:after="60"/>
            </w:pPr>
            <w:r>
              <w:rPr>
                <w:rFonts w:ascii="Consolas" w:cs="Consolas" w:eastAsia="Consolas" w:hAnsi="Consolas"/>
                <w:color w:val="404040"/>
                <w:sz w:val="19"/>
                <w:szCs w:val="19"/>
              </w:rPr>
              <w:t xml:space="preserve">Do not contact law enforcement. Do not attempt recovery yourself. Do not shut down your systems.</w:t>
            </w:r>
          </w:p>
          <w:p>
            <w:pPr>
              <w:spacing w:after="60"/>
            </w:pPr>
            <w:r>
              <w:rPr>
                <w:rFonts w:ascii="Consolas" w:cs="Consolas" w:eastAsia="Consolas" w:hAnsi="Consolas"/>
                <w:color w:val="404040"/>
                <w:sz w:val="19"/>
                <w:szCs w:val="19"/>
              </w:rPr>
              <w:t xml:space="preserve">Contact us at: [EMAIL ADDRESS ON ENCRYPTED MESSAGING SERVICE]</w:t>
            </w:r>
          </w:p>
          <w:p>
            <w:pPr>
              <w:spacing w:after="60"/>
            </w:pPr>
            <w:r>
              <w:rPr>
                <w:rFonts w:ascii="Consolas" w:cs="Consolas" w:eastAsia="Consolas" w:hAnsi="Consolas"/>
                <w:color w:val="404040"/>
                <w:sz w:val="19"/>
                <w:szCs w:val="19"/>
              </w:rPr>
              <w:t xml:space="preserve">Institutions that pay quietly resume business the same day. Institutions that do not make the news.</w:t>
            </w:r>
          </w:p>
        </w:tc>
      </w:tr>
    </w:tbl>
    <w:p>
      <w:pPr>
        <w:spacing w:after="120"/>
      </w:pP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3: Transaction Processing Halted</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operations team reports: “We cannot process any transactions — no deposits, no withdrawals, no transfers, no loan payments. We have [CUSTOMIZE: scheduled ACH transactions / payroll processing for clients / wire transfers] due today that will fail. Customers who depend on direct deposits or automatic payments will be affected.”</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1</w:t>
            </w:r>
          </w:p>
          <w:p>
            <w:pPr>
              <w:spacing w:after="40" w:before="0" w:line="276"/>
            </w:pPr>
            <w:r>
              <w:rPr>
                <w:rFonts w:ascii="Calibri" w:cs="Calibri" w:eastAsia="Calibri" w:hAnsi="Calibri"/>
                <w:color w:val="404040"/>
                <w:sz w:val="20"/>
                <w:szCs w:val="20"/>
              </w:rPr>
              <w:t xml:space="preserve">Listen for: whether anyone can describe a manual or correspondent-channel fallback for critical transactions, how quickly fiduciary obligation enters the discussion, and who claims authority to speak to customers. If participants cannot say whether customer data at rest was encrypted, document that uncertainty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4: Regulatory Obligations Surface</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compliance officer presents: “If customer financial data was accessed, we have multiple reporting obligations. [CUSTOMIZE based on org type: State banking regulator requires notification within 36 hours / GLBA Safeguards Rule requires notification to FTC / SEC requires Form 8-K within 4 business days for material cybersecurity incidents / State breach notification laws vary from 24 hours to 60 days]. I need to know the scope before I can determine which notifications are required.”</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5: Customer Panic</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customer service team is overwhelmed. Call volume is 10x normal. Social media posts are appearing: “My bank's website is down. Should I be worried about my account?” A local news outlet calls asking: “Are you experiencing a cybersecurity incident? Is customer data safe?” A commercial client with a $[CUSTOMIZE: significant amount] operating balance calls the CEO directly: “I need to know my money is safe. Right now.”</w:t>
      </w:r>
    </w:p>
    <w:p>
      <w:pPr>
        <w:keepNext/>
        <w:spacing w:after="120" w:before="0" w:line="276"/>
      </w:pPr>
      <w:r>
        <w:rPr>
          <w:rFonts w:ascii="Calibri" w:cs="Calibri" w:eastAsia="Calibri" w:hAnsi="Calibri"/>
          <w:color w:val="404040"/>
          <w:sz w:val="21"/>
          <w:szCs w:val="21"/>
        </w:rPr>
        <w:t xml:space="preserve">Thirty minutes after that call, the commercial client's CFO follows up in writing:</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Email from Commercial Client (Simulated)</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From: [CUSTOMIZE: Client CFO Name] &lt;[email]&gt; — [CUSTOMIZE: commercial client company name]</w:t>
            </w:r>
          </w:p>
          <w:p>
            <w:pPr>
              <w:spacing w:after="60"/>
            </w:pPr>
            <w:r>
              <w:rPr>
                <w:rFonts w:ascii="Consolas" w:cs="Consolas" w:eastAsia="Consolas" w:hAnsi="Consolas"/>
                <w:color w:val="404040"/>
                <w:sz w:val="19"/>
                <w:szCs w:val="19"/>
              </w:rPr>
              <w:t xml:space="preserve">To: [CEO / Relationship Manager]</w:t>
            </w:r>
          </w:p>
          <w:p>
            <w:pPr>
              <w:spacing w:after="60"/>
            </w:pPr>
            <w:r>
              <w:rPr>
                <w:rFonts w:ascii="Consolas" w:cs="Consolas" w:eastAsia="Consolas" w:hAnsi="Consolas"/>
                <w:color w:val="404040"/>
                <w:sz w:val="19"/>
                <w:szCs w:val="19"/>
              </w:rPr>
              <w:t xml:space="preserve">Subject: Following up on our call — need written confirmation TODAY</w:t>
            </w:r>
          </w:p>
          <w:p>
            <w:pPr>
              <w:spacing w:after="60"/>
            </w:pPr>
            <w:r>
              <w:rPr>
                <w:rFonts w:ascii="Consolas" w:cs="Consolas" w:eastAsia="Consolas" w:hAnsi="Consolas"/>
                <w:color w:val="404040"/>
                <w:sz w:val="19"/>
                <w:szCs w:val="19"/>
              </w:rPr>
              <w:t xml:space="preserve">Per our conversation this morning: we hold approximately $[CUSTOMIZE: amount] in operating funds with your institution, and our payroll of $[CUSTOMIZE: amount] for [CUSTOMIZE: number] employees is scheduled to process through your ACH service this week.</w:t>
            </w:r>
          </w:p>
          <w:p>
            <w:pPr>
              <w:spacing w:after="60"/>
            </w:pPr>
            <w:r>
              <w:rPr>
                <w:rFonts w:ascii="Consolas" w:cs="Consolas" w:eastAsia="Consolas" w:hAnsi="Consolas"/>
                <w:color w:val="404040"/>
                <w:sz w:val="19"/>
                <w:szCs w:val="19"/>
              </w:rPr>
              <w:t xml:space="preserve">Our board meets tonight. Before that meeting I need, in writing: (1) confirmation of whether our funds are secure and accessible, (2) whether our account and personnel data are affected by whatever is happening, and (3) when normal processing will resume.</w:t>
            </w:r>
          </w:p>
          <w:p>
            <w:pPr>
              <w:spacing w:after="60"/>
            </w:pPr>
            <w:r>
              <w:rPr>
                <w:rFonts w:ascii="Consolas" w:cs="Consolas" w:eastAsia="Consolas" w:hAnsi="Consolas"/>
                <w:color w:val="404040"/>
                <w:sz w:val="19"/>
                <w:szCs w:val="19"/>
              </w:rPr>
              <w:t xml:space="preserve">If I cannot get clarity today, we will begin moving our deposits and payroll processing to another institution on Monday. I do not want to do that after [CUSTOMIZE: number] years of business together, but I have obligations of my own.</w:t>
            </w:r>
          </w:p>
          <w:p>
            <w:pPr>
              <w:spacing w:after="60"/>
            </w:pPr>
            <w:r>
              <w:rPr>
                <w:rFonts w:ascii="Consolas" w:cs="Consolas" w:eastAsia="Consolas" w:hAnsi="Consolas"/>
                <w:color w:val="404040"/>
                <w:sz w:val="19"/>
                <w:szCs w:val="19"/>
              </w:rPr>
              <w:t xml:space="preserve">Please call me directly at [phone number].</w:t>
            </w:r>
          </w:p>
          <w:p>
            <w:pPr>
              <w:spacing w:after="60"/>
            </w:pPr>
            <w:r>
              <w:rPr>
                <w:rFonts w:ascii="Consolas" w:cs="Consolas" w:eastAsia="Consolas" w:hAnsi="Consolas"/>
                <w:color w:val="404040"/>
                <w:sz w:val="19"/>
                <w:szCs w:val="19"/>
              </w:rPr>
              <w:t xml:space="preserve">[Client CFO Name], Chief Financial Officer</w:t>
            </w:r>
          </w:p>
        </w:tc>
      </w:tr>
    </w:tbl>
    <w:p>
      <w:pPr>
        <w:spacing w:after="120"/>
      </w:pP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6: Insurance and Legal Engagement</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CFO asks: “Our cyber insurance policy requires notification to the carrier within 24 hours of discovering a cyber event. Have we done that? And the policy requires us to use their pre-approved forensics firm. If we've already engaged someone else, that might not be covered.” Your legal counsel adds: “We need to be very careful about what we say publicly. Anything we state about customer data safety could become a legal liability if it turns out to be wrong.”</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2</w:t>
            </w:r>
          </w:p>
          <w:p>
            <w:pPr>
              <w:spacing w:after="40" w:before="0" w:line="276"/>
            </w:pPr>
            <w:r>
              <w:rPr>
                <w:rFonts w:ascii="Calibri" w:cs="Calibri" w:eastAsia="Calibri" w:hAnsi="Calibri"/>
                <w:color w:val="404040"/>
                <w:sz w:val="20"/>
                <w:szCs w:val="20"/>
              </w:rPr>
              <w:t xml:space="preserve">Listen for: knowledge of the carrier's 24-hour notification window and pre-approved vendor panel, whether compliance can name the applicable regulators and their timelines without looking them up, who owns the media response, and whether front-line staff have an approved script. If the room cannot articulate which regulator applies, document that uncertainty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7: Forensic Findings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forensics firm (engaged through your insurance carrier's approved panel) reports: “The attacker accessed your customer database containing [CUSTOMIZE: number] records including names, SSNs, account numbers, and transaction histories. Data exfiltration is confirmed. Your backup systems were not compromised. Full system restoration is estimated at [CUSTOMIZE: 48–72 hours].”</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8: Customer Notification and Aftermath</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With confirmed data exfiltration of [CUSTOMIZE: number] customer records, your legal counsel advises: “We must notify affected customers, [applicable regulators], and potentially the media depending on the count and jurisdiction. We should offer credit monitoring. The estimated cost for notification and credit monitoring alone is $[CUSTOMIZE: amount]. And we should prepare for customers who will close their accounts.”</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3</w:t>
            </w:r>
          </w:p>
          <w:p>
            <w:pPr>
              <w:spacing w:after="40" w:before="0" w:line="276"/>
            </w:pPr>
            <w:r>
              <w:rPr>
                <w:rFonts w:ascii="Calibri" w:cs="Calibri" w:eastAsia="Calibri" w:hAnsi="Calibri"/>
                <w:color w:val="404040"/>
                <w:sz w:val="20"/>
                <w:szCs w:val="20"/>
              </w:rPr>
              <w:t xml:space="preserve">Listen for: whether notification sequencing (customers, regulators, media) gets named owners, whether anyone builds a credible total-cost estimate, and whether the trust-restoration discussion produces a concrete 90-day plan. Document unresolved questions about notification execution and cost exposure as findings for the AAR.</w:t>
            </w:r>
          </w:p>
        </w:tc>
      </w:tr>
    </w:tbl>
    <w:p>
      <w:pPr>
        <w:pStyle w:val="Heading2"/>
        <w:keepNext/>
        <w:spacing w:after="110" w:before="240"/>
      </w:pPr>
      <w:r>
        <w:rPr>
          <w:rFonts w:ascii="Calibri" w:cs="Calibri" w:eastAsia="Calibri" w:hAnsi="Calibri"/>
          <w:b/>
          <w:bCs/>
          <w:color w:val="2E74B5"/>
          <w:sz w:val="25"/>
          <w:szCs w:val="25"/>
        </w:rPr>
        <w:t xml:space="preserve">MSEL Summary Table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700"/>
        <w:gridCol w:w="800"/>
        <w:gridCol w:w="900"/>
        <w:gridCol w:w="1100"/>
        <w:gridCol w:w="2900"/>
        <w:gridCol w:w="2960"/>
      </w:tblGrid>
      <w:tr>
        <w:trPr>
          <w:tblHeader/>
        </w:trPr>
        <w:tc>
          <w:tcPr>
            <w:tcW w:type="dxa" w:w="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Inject</w:t>
            </w:r>
          </w:p>
        </w:tc>
        <w:tc>
          <w:tcPr>
            <w:tcW w:type="dxa" w:w="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Module</w:t>
            </w:r>
          </w:p>
        </w:tc>
        <w:tc>
          <w:tcPr>
            <w:tcW w:type="dxa" w:w="1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Method</w:t>
            </w:r>
          </w:p>
        </w:tc>
        <w:tc>
          <w:tcPr>
            <w:tcW w:type="dxa" w:w="2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 Summary</w:t>
            </w:r>
          </w:p>
        </w:tc>
        <w:tc>
          <w:tcPr>
            <w:tcW w:type="dxa" w:w="2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Expected Discussion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+0:00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Core systems encrypted, customer access down</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Immediate response, customer safety</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+0:10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Ransom demand and data threat; full note displayed</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assessment, regulatory awareness</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Transaction processing halted</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Operational continuity, manual processes</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+0:35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Multiple regulatory notification timelines</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Compliance complexity, scope determination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+0:50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Customer panic, media inquiry; commercial client email</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Communication, reputation management</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Insurance and legal engagement complications</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Policy terms, vendor requirements</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Forensic confirmation: data exfiltrated</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Breach scope, notification planning</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+1:40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Notification cost and customer attrition</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Financial impact, trust restoration</w:t>
            </w:r>
          </w:p>
        </w:tc>
      </w:tr>
    </w:tbl>
    <w:p>
      <w:r>
        <w:br w:type="page"/>
      </w:r>
    </w:p>
    <w:p>
      <w:pPr>
        <w:pStyle w:val="Heading1"/>
        <w:keepNext/>
        <w:spacing w:after="140" w:before="320"/>
      </w:pPr>
      <w:r>
        <w:rPr>
          <w:rFonts w:ascii="Calibri" w:cs="Calibri" w:eastAsia="Calibri" w:hAnsi="Calibri"/>
          <w:b/>
          <w:bCs/>
          <w:color w:val="1F3864"/>
          <w:sz w:val="30"/>
          <w:szCs w:val="30"/>
        </w:rPr>
        <w:t xml:space="preserve">Facilitator Notes</w:t>
      </w:r>
    </w:p>
    <w:p>
      <w:pPr>
        <w:pStyle w:val="Heading2"/>
        <w:keepNext/>
        <w:spacing w:after="110" w:before="240"/>
      </w:pPr>
      <w:r>
        <w:rPr>
          <w:rFonts w:ascii="Calibri" w:cs="Calibri" w:eastAsia="Calibri" w:hAnsi="Calibri"/>
          <w:b/>
          <w:bCs/>
          <w:color w:val="2E74B5"/>
          <w:sz w:val="25"/>
          <w:szCs w:val="25"/>
        </w:rPr>
        <w:t xml:space="preserve">Framing Reminders</w:t>
      </w:r>
    </w:p>
    <w:p>
      <w:pPr>
        <w:spacing w:after="120" w:before="0" w:line="276"/>
      </w:pPr>
      <w:r>
        <w:rPr>
          <w:rFonts w:ascii="Calibri" w:cs="Calibri" w:eastAsia="Calibri" w:hAnsi="Calibri"/>
          <w:color w:val="404040"/>
          <w:sz w:val="21"/>
          <w:szCs w:val="21"/>
        </w:rPr>
        <w:t xml:space="preserve">This is a business response exercise, not a technical incident response exercise. Keep the discussion focused on decisions, communication, and coordination rather than technical containment procedures. When participants want to discuss technical details (network segmentation, endpoint detection, forensic analysis, core-system architecture), acknowledge the question and redirect: “That's an important technical question. For today's exercise, let's focus on the business decision: given that you don't have an immediate answer to that technical question, what do you do next?”</w:t>
      </w:r>
    </w:p>
    <w:p>
      <w:pPr>
        <w:pStyle w:val="Heading2"/>
        <w:keepNext/>
        <w:spacing w:after="110" w:before="240"/>
      </w:pPr>
      <w:r>
        <w:rPr>
          <w:rFonts w:ascii="Calibri" w:cs="Calibri" w:eastAsia="Calibri" w:hAnsi="Calibri"/>
          <w:b/>
          <w:bCs/>
          <w:color w:val="2E74B5"/>
          <w:sz w:val="25"/>
          <w:szCs w:val="25"/>
        </w:rPr>
        <w:t xml:space="preserve">Financial Services Facilitation Guidance</w:t>
      </w:r>
    </w:p>
    <w:p>
      <w:pPr>
        <w:spacing w:after="120" w:before="0" w:line="276"/>
      </w:pPr>
      <w:r>
        <w:rPr>
          <w:rFonts w:ascii="Calibri" w:cs="Calibri" w:eastAsia="Calibri" w:hAnsi="Calibri"/>
          <w:color w:val="404040"/>
          <w:sz w:val="21"/>
          <w:szCs w:val="21"/>
        </w:rPr>
        <w:t xml:space="preserve">Financial services participants are acutely aware of fiduciary obligations and regulatory scrutiny. Use this awareness constructively: “Your customers can't access their money right now. What is your fiduciary obligation in the next 60 minutes?” This is more effective than abstract questions about incident response procedures.</w:t>
      </w:r>
    </w:p>
    <w:p>
      <w:pPr>
        <w:spacing w:after="120" w:before="0" w:line="276"/>
      </w:pPr>
      <w:r>
        <w:rPr>
          <w:rFonts w:ascii="Calibri" w:cs="Calibri" w:eastAsia="Calibri" w:hAnsi="Calibri"/>
          <w:color w:val="404040"/>
          <w:sz w:val="21"/>
          <w:szCs w:val="21"/>
        </w:rPr>
        <w:t xml:space="preserve">Compliance officers will want to discuss regulatory notification in detail. Allow this — it's a legitimate exercise objective. But ensure other functional areas (operations, customer service, IT) also contribute.</w:t>
      </w:r>
    </w:p>
    <w:p>
      <w:pPr>
        <w:pStyle w:val="Heading2"/>
        <w:keepNext/>
        <w:spacing w:after="110" w:before="240"/>
      </w:pPr>
      <w:r>
        <w:rPr>
          <w:rFonts w:ascii="Calibri" w:cs="Calibri" w:eastAsia="Calibri" w:hAnsi="Calibri"/>
          <w:b/>
          <w:bCs/>
          <w:color w:val="2E74B5"/>
          <w:sz w:val="25"/>
          <w:szCs w:val="25"/>
        </w:rPr>
        <w:t xml:space="preserve">Common Participant Responses and Probe Questions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700"/>
        <w:gridCol w:w="5660"/>
      </w:tblGrid>
      <w:tr>
        <w:trPr>
          <w:tblHeader/>
        </w:trPr>
        <w:tc>
          <w:tcPr>
            <w:tcW w:type="dxa" w:w="3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If Participants...</w:t>
            </w:r>
          </w:p>
        </w:tc>
        <w:tc>
          <w:tcPr>
            <w:tcW w:type="dxa" w:w="5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Probe With...</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“We'd switch to manual processing”</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“Describe the manual process for a wire transfer. A loan payment. Do you have the forms? Do staff know the procedure?”</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“We'd notify our regulator immediately”</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“Which regulator? What is the notification form? What information is required? Who in this room has done this before?”</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“Our insurance covers this”</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“What is your carrier's notification window? Do they require pre-approved vendors? Have you read the policy exclusions?”</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Cannot articulate which regulator applies</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“That uncertainty is itself a finding. In a real incident, you'd spend critical hours determining who to call. Let's note that.”</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Focus entirely on IT recovery, ignore customer communication</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“Your customers are calling right now. Your largest commercial client called the CEO. What are they hearing?”</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Immediately say “never pay the ransom”</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“Your core banking system has been down 48 hours. Customers can't make payroll. At what point does the cost of not paying exceed the cost of paying?”</w:t>
            </w:r>
          </w:p>
        </w:tc>
      </w:tr>
    </w:tbl>
    <w:p>
      <w:r>
        <w:br w:type="page"/>
      </w:r>
    </w:p>
    <w:p>
      <w:pPr>
        <w:pStyle w:val="Heading1"/>
        <w:keepNext/>
        <w:spacing w:after="140" w:before="320"/>
      </w:pPr>
      <w:r>
        <w:rPr>
          <w:rFonts w:ascii="Calibri" w:cs="Calibri" w:eastAsia="Calibri" w:hAnsi="Calibri"/>
          <w:b/>
          <w:bCs/>
          <w:color w:val="1F3864"/>
          <w:sz w:val="30"/>
          <w:szCs w:val="30"/>
        </w:rPr>
        <w:t xml:space="preserve">Customization Checklist</w:t>
      </w:r>
    </w:p>
    <w:p>
      <w:pPr>
        <w:spacing w:after="120" w:before="0" w:line="276"/>
      </w:pPr>
      <w:r>
        <w:rPr>
          <w:rFonts w:ascii="Calibri" w:cs="Calibri" w:eastAsia="Calibri" w:hAnsi="Calibri"/>
          <w:color w:val="404040"/>
          <w:sz w:val="21"/>
          <w:szCs w:val="21"/>
        </w:rPr>
        <w:t xml:space="preserve">Customize the following elements before delivery. All [CUSTOMIZE] tags in the narrative and artifacts should be replaced with client-specific details.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3100"/>
        <w:gridCol w:w="38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Default</w:t>
            </w:r>
          </w:p>
        </w:tc>
        <w:tc>
          <w:tcPr>
            <w:tcW w:type="dxa" w:w="3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Customize To</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Financial institution type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Community bank</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sub-type (bank, CU, advisory, insurance, accounting)</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Regulatory framework</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State banking regulator + GLBA/FTC</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Applicable regulators: state banking, GLBA/FTC, SEC/FINRA, state breach laws</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Customer data scope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Names, SSNs, account numbers, transaction histories</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Actual data types handled (account numbers, SSNs, tax returns, investments)</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Core system</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Generic hosted core banking platform</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core banking/financial platform</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Customer count</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5,000–20,000</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Actual or approximate client/customer base</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Ransom amount</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$350,000</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Scale to institution size ($200K–$500K)</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Commercial client example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Commercial client with significant operating balance</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Realistic for client's actual commercial relationships</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Customer channels (portal, ATMs)</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Portal down; ATMs offline</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channel architecture — adjust Inject 1</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Backup status</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Not compromised; 48–72 hour restoration</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Based on intake — adjust Inject 7 if backups are weak or untested</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 — Before Delivery</w:t>
            </w:r>
          </w:p>
          <w:p>
            <w:pPr>
              <w:spacing w:after="40" w:before="0" w:line="276"/>
            </w:pPr>
            <w:r>
              <w:rPr>
                <w:rFonts w:ascii="Calibri" w:cs="Calibri" w:eastAsia="Calibri" w:hAnsi="Calibri"/>
                <w:color w:val="404040"/>
                <w:sz w:val="20"/>
                <w:szCs w:val="20"/>
              </w:rPr>
              <w:t xml:space="preserve">Replace every [CUSTOMIZE] tag in the narrative and artifacts with client-specific detail from the Client Intake Packet. Verify internal consistency and plausibility. The scenario summary goes to the client for approval via Pre-Exercise Forms (02 - Contract folder), Form A.</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 Regulatory Reference Disclaimer</w:t>
            </w:r>
          </w:p>
          <w:p>
            <w:pPr>
              <w:spacing w:after="40" w:before="0" w:line="276"/>
            </w:pPr>
            <w:r>
              <w:rPr>
                <w:rFonts w:ascii="Calibri" w:cs="Calibri" w:eastAsia="Calibri" w:hAnsi="Calibri"/>
                <w:color w:val="404040"/>
                <w:sz w:val="20"/>
                <w:szCs w:val="20"/>
              </w:rPr>
              <w:t xml:space="preserve">Regulatory requirements, notification timelines, and compliance obligations referenced in this scenario are illustrative and based on information available at the time of scenario development (July 2026). They should not be relied upon as current legal guidance. Regulations, notification timelines, enforcement interpretations, and jurisdictional requirements change. Participants and clients should consult qualified legal counsel for current regulatory requirements applicable to their specific jurisdiction, industry, and circumstances.</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GS-1b — Ransomware (Financial Services)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2026-07-14T20:00:18.908Z</dcterms:created>
  <dcterms:modified xsi:type="dcterms:W3CDTF">2026-07-14T20:00:18.909Z</dcterms:modified>
</cp:coreProperties>
</file>

<file path=docProps/custom.xml><?xml version="1.0" encoding="utf-8"?>
<Properties xmlns="http://schemas.openxmlformats.org/officeDocument/2006/custom-properties" xmlns:vt="http://schemas.openxmlformats.org/officeDocument/2006/docPropsVTypes"/>
</file>